
<file path=[Content_Types].xml><?xml version="1.0" encoding="utf-8"?>
<Types xmlns="http://schemas.openxmlformats.org/package/2006/content-types">
  <Default Extension="bin" ContentType="application/vnd.openxmlformats-officedocument.oleObject"/>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15="http://schemas.microsoft.com/office/word/2012/wordml" xmlns:wpi="http://schemas.microsoft.com/office/word/2010/wordprocessingInk" xmlns:w16cid="http://schemas.microsoft.com/office/word/2016/wordml/cid" xmlns:am3d="http://schemas.microsoft.com/office/drawing/2017/model3d" xmlns:w16se="http://schemas.microsoft.com/office/word/2015/wordml/sym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mc:Ignorable="w14 wp14">
  <w:body>
    <w:p>
      <w:pPr>
        <w:jc w:val="center"/>
        <w:rPr>
          <w:sz w:val="48"/>
          <w:szCs w:val="48"/>
          <w:rFonts w:cs="Times New Roman"/>
        </w:rPr>
      </w:pPr>
      <w:r>
        <w:rPr>
          <w:sz w:val="48"/>
          <w:szCs w:val="48"/>
          <w:rFonts w:cs="宋体" w:hint="eastAsia"/>
        </w:rPr>
        <w:t>进修人员管理协议书</w:t>
      </w:r>
    </w:p>
    <w:p>
      <w:pPr>
        <w:rPr>
          <w:sz w:val="24"/>
          <w:szCs w:val="24"/>
          <w:rFonts w:cs="Times New Roman"/>
        </w:rPr>
      </w:pPr>
      <w:r>
        <w:rPr>
          <w:sz w:val="24"/>
          <w:szCs w:val="24"/>
          <w:rFonts w:cs="宋体" w:hint="eastAsia"/>
        </w:rPr>
        <w:t>甲方（接收单位）：</w:t>
      </w:r>
      <w:r>
        <w:rPr>
          <w:sz w:val="24"/>
          <w:szCs w:val="24"/>
          <w:rFonts w:cs="宋体" w:hint="eastAsia"/>
          <w:lang w:eastAsia="zh-CN"/>
        </w:rPr>
        <w:t>沈阳市第六人民医院</w:t>
      </w:r>
    </w:p>
    <w:p>
      <w:pPr>
        <w:rPr>
          <w:sz w:val="24"/>
          <w:szCs w:val="24"/>
          <w:rFonts w:cs="Times New Roman"/>
        </w:rPr>
      </w:pPr>
    </w:p>
    <w:p>
      <w:pPr>
        <w:rPr>
          <w:sz w:val="24"/>
          <w:szCs w:val="24"/>
          <w:rFonts w:cs="Times New Roman"/>
        </w:rPr>
      </w:pPr>
      <w:r>
        <w:rPr>
          <w:sz w:val="24"/>
          <w:szCs w:val="24"/>
          <w:rFonts w:cs="宋体" w:hint="eastAsia"/>
        </w:rPr>
        <w:t>乙方（派出单位）：</w:t>
      </w:r>
    </w:p>
    <w:p>
      <w:pPr>
        <w:rPr>
          <w:color w:val="FF0000"/>
          <w:sz w:val="24"/>
          <w:szCs w:val="24"/>
          <w:rFonts w:cs="Times New Roman"/>
        </w:rPr>
      </w:pPr>
    </w:p>
    <w:p>
      <w:pPr>
        <w:rPr>
          <w:color w:val="000000" w:themeColor="text1"/>
          <w:sz w:val="24"/>
          <w:szCs w:val="24"/>
          <w:rFonts w:cs="Times New Roman"/>
        </w:rPr>
      </w:pPr>
      <w:r>
        <w:rPr>
          <w:color w:val="000000" w:themeColor="text1"/>
          <w:sz w:val="24"/>
          <w:szCs w:val="24"/>
          <w:rFonts w:cs="宋体" w:hint="eastAsia"/>
        </w:rPr>
        <w:t>乙方进修人员：</w:t>
      </w:r>
      <w:r>
        <w:rPr>
          <w:color w:val="000000" w:themeColor="text1"/>
          <w:sz w:val="24"/>
          <w:szCs w:val="24"/>
        </w:rPr>
        <w:t xml:space="preserve">                 </w:t>
      </w:r>
      <w:r>
        <w:rPr>
          <w:color w:val="000000" w:themeColor="text1"/>
          <w:sz w:val="24"/>
          <w:szCs w:val="24"/>
          <w:rFonts w:cs="宋体" w:hint="eastAsia"/>
        </w:rPr>
        <w:t>身份证号：</w:t>
      </w:r>
    </w:p>
    <w:p>
      <w:pPr>
        <w:pStyle w:val="PO26"/>
        <w:numPr>
          <w:ilvl w:val="0"/>
          <w:numId w:val="1"/>
        </w:numPr>
        <w:rPr>
          <w:color w:val="000000" w:themeColor="text1"/>
          <w:sz w:val="24"/>
          <w:szCs w:val="24"/>
          <w:rFonts w:cs="Times New Roman"/>
        </w:rPr>
      </w:pPr>
      <w:r>
        <w:rPr>
          <w:color w:val="000000" w:themeColor="text1"/>
          <w:sz w:val="24"/>
          <w:szCs w:val="24"/>
          <w:rFonts w:cs="宋体" w:hint="eastAsia"/>
        </w:rPr>
        <w:t>乙方派出的进修人员必须具有较好的思想品质，身体健康，有较扎实的</w:t>
      </w:r>
      <w:r>
        <w:rPr>
          <w:color w:val="000000" w:themeColor="text1"/>
          <w:sz w:val="24"/>
          <w:szCs w:val="24"/>
          <w:rFonts w:cs="宋体" w:hint="eastAsia"/>
        </w:rPr>
        <w:t>相应专业基础理论知识和工作能力。</w:t>
      </w:r>
    </w:p>
    <w:p>
      <w:pPr>
        <w:pStyle w:val="PO26"/>
        <w:numPr>
          <w:ilvl w:val="0"/>
          <w:numId w:val="1"/>
        </w:numPr>
        <w:rPr>
          <w:color w:val="000000" w:themeColor="text1"/>
          <w:sz w:val="24"/>
          <w:szCs w:val="24"/>
          <w:rFonts w:cs="Times New Roman"/>
        </w:rPr>
      </w:pPr>
      <w:r>
        <w:rPr>
          <w:color w:val="000000" w:themeColor="text1"/>
          <w:sz w:val="24"/>
          <w:szCs w:val="24"/>
          <w:rFonts w:cs="宋体" w:hint="eastAsia"/>
        </w:rPr>
        <w:t>乙方派出的进修人员在甲方进修学习期间，其本人在政治思想、业务工</w:t>
      </w:r>
      <w:r>
        <w:rPr>
          <w:color w:val="000000" w:themeColor="text1"/>
          <w:sz w:val="24"/>
          <w:szCs w:val="24"/>
          <w:rFonts w:cs="宋体" w:hint="eastAsia"/>
        </w:rPr>
        <w:t>作、行政管理方面要服从甲方管理。</w:t>
      </w:r>
    </w:p>
    <w:p>
      <w:pPr>
        <w:pStyle w:val="PO26"/>
        <w:numPr>
          <w:ilvl w:val="0"/>
          <w:numId w:val="1"/>
        </w:numPr>
        <w:rPr>
          <w:color w:val="000000" w:themeColor="text1"/>
          <w:sz w:val="24"/>
          <w:szCs w:val="24"/>
          <w:rFonts w:cs="Times New Roman"/>
        </w:rPr>
      </w:pPr>
      <w:r>
        <w:rPr>
          <w:color w:val="000000" w:themeColor="text1"/>
          <w:sz w:val="24"/>
          <w:szCs w:val="24"/>
          <w:rFonts w:cs="宋体" w:hint="eastAsia"/>
        </w:rPr>
        <w:t>乙方派出的进修人员在甲方进修期间，如发生政治、行政、医德医风等</w:t>
      </w:r>
      <w:r>
        <w:rPr>
          <w:color w:val="000000" w:themeColor="text1"/>
          <w:sz w:val="24"/>
          <w:szCs w:val="24"/>
          <w:rFonts w:cs="宋体" w:hint="eastAsia"/>
        </w:rPr>
        <w:t>问题，甲方将追究进修生本人责任并给予相应处理，情节严重者予以取消</w:t>
      </w:r>
      <w:r>
        <w:rPr>
          <w:color w:val="000000" w:themeColor="text1"/>
          <w:sz w:val="24"/>
          <w:szCs w:val="24"/>
          <w:rFonts w:cs="宋体" w:hint="eastAsia"/>
        </w:rPr>
        <w:t>进修资格并直接遣返回乙方，由乙方视情处理。</w:t>
      </w:r>
    </w:p>
    <w:p>
      <w:pPr>
        <w:pStyle w:val="PO26"/>
        <w:numPr>
          <w:ilvl w:val="0"/>
          <w:numId w:val="1"/>
        </w:numPr>
        <w:rPr>
          <w:color w:val="000000" w:themeColor="text1"/>
          <w:sz w:val="24"/>
          <w:szCs w:val="24"/>
          <w:rFonts w:cs="Times New Roman"/>
        </w:rPr>
      </w:pPr>
      <w:r>
        <w:rPr>
          <w:color w:val="000000" w:themeColor="text1"/>
          <w:sz w:val="24"/>
          <w:szCs w:val="24"/>
          <w:rFonts w:cs="宋体" w:hint="eastAsia"/>
        </w:rPr>
        <w:t>乙方派出的进修人员在甲方进修期间，因违反医疗规章制度，造成责任</w:t>
      </w:r>
      <w:r>
        <w:rPr>
          <w:color w:val="000000" w:themeColor="text1"/>
          <w:sz w:val="24"/>
          <w:szCs w:val="24"/>
          <w:rFonts w:cs="宋体" w:hint="eastAsia"/>
        </w:rPr>
        <w:t>或技术性医疗问题发生，导致医疗纠纷或造成医疗事故者，由乙方负责全</w:t>
      </w:r>
      <w:r>
        <w:rPr>
          <w:color w:val="000000" w:themeColor="text1"/>
          <w:sz w:val="24"/>
          <w:szCs w:val="24"/>
          <w:rFonts w:cs="宋体" w:hint="eastAsia"/>
        </w:rPr>
        <w:t>部经济赔偿，当事人承担相应法律责任，与甲方无关。乙方派出的进修人员在</w:t>
      </w:r>
      <w:r>
        <w:rPr>
          <w:color w:val="000000" w:themeColor="text1"/>
          <w:sz w:val="24"/>
          <w:szCs w:val="24"/>
          <w:rFonts w:cs="宋体" w:hint="eastAsia"/>
        </w:rPr>
        <w:t>甲方进修学习期间的人身及财产安全由其个人负责，甲方不承担任何责任，</w:t>
      </w:r>
      <w:r>
        <w:rPr>
          <w:color w:val="000000" w:themeColor="text1"/>
          <w:sz w:val="24"/>
          <w:szCs w:val="24"/>
          <w:rFonts w:cs="宋体" w:hint="eastAsia"/>
        </w:rPr>
        <w:t>如乙方派出的进修人员与他人产生纠纷或造成他人人身及财产损失的，也</w:t>
      </w:r>
      <w:r>
        <w:rPr>
          <w:color w:val="000000" w:themeColor="text1"/>
          <w:sz w:val="24"/>
          <w:szCs w:val="24"/>
          <w:rFonts w:cs="宋体" w:hint="eastAsia"/>
        </w:rPr>
        <w:t>均由乙方以及乙方进修人员自行处理并承担责任，甲方对此不承担任何责</w:t>
      </w:r>
      <w:r>
        <w:rPr>
          <w:color w:val="000000" w:themeColor="text1"/>
          <w:sz w:val="24"/>
          <w:szCs w:val="24"/>
          <w:rFonts w:cs="宋体" w:hint="eastAsia"/>
        </w:rPr>
        <w:t>任。如因乙方派出的进修人员造成甲方损失的，甲方有权要求乙方承担全</w:t>
      </w:r>
      <w:r>
        <w:rPr>
          <w:color w:val="000000" w:themeColor="text1"/>
          <w:sz w:val="24"/>
          <w:szCs w:val="24"/>
          <w:rFonts w:cs="宋体" w:hint="eastAsia"/>
        </w:rPr>
        <w:t>部责任。</w:t>
      </w:r>
    </w:p>
    <w:p>
      <w:pPr>
        <w:pStyle w:val="PO26"/>
        <w:numPr>
          <w:ilvl w:val="0"/>
          <w:numId w:val="1"/>
        </w:numPr>
        <w:rPr>
          <w:sz w:val="24"/>
          <w:szCs w:val="24"/>
          <w:rFonts w:cs="Times New Roman"/>
        </w:rPr>
      </w:pPr>
      <w:r>
        <w:rPr>
          <w:sz w:val="24"/>
          <w:szCs w:val="24"/>
          <w:rFonts w:cs="宋体" w:hint="eastAsia"/>
        </w:rPr>
        <w:t>乙方进修人员在进修期间因违反甲方管理规定，被甲方终止进修或乙方</w:t>
      </w:r>
      <w:r>
        <w:rPr>
          <w:sz w:val="24"/>
          <w:szCs w:val="24"/>
          <w:rFonts w:cs="宋体" w:hint="eastAsia"/>
        </w:rPr>
        <w:t>自行要求终止进修学习者，甲方均不发给进修结业证书，同时不退还进修</w:t>
      </w:r>
      <w:r>
        <w:rPr>
          <w:sz w:val="24"/>
          <w:szCs w:val="24"/>
          <w:rFonts w:cs="宋体" w:hint="eastAsia"/>
        </w:rPr>
        <w:t>费及管理押金。</w:t>
      </w:r>
    </w:p>
    <w:p>
      <w:pPr>
        <w:pStyle w:val="PO26"/>
        <w:numPr>
          <w:ilvl w:val="0"/>
          <w:numId w:val="1"/>
        </w:numPr>
        <w:rPr>
          <w:sz w:val="24"/>
          <w:szCs w:val="24"/>
          <w:rFonts w:cs="Times New Roman"/>
        </w:rPr>
      </w:pPr>
      <w:r>
        <w:rPr>
          <w:sz w:val="24"/>
          <w:szCs w:val="24"/>
          <w:rFonts w:cs="宋体" w:hint="eastAsia"/>
        </w:rPr>
        <w:t>进修期间只安排法定假期，一律不安排休假或探亲假，其家属、亲友来</w:t>
      </w:r>
      <w:r>
        <w:rPr>
          <w:sz w:val="24"/>
          <w:szCs w:val="24"/>
          <w:rFonts w:cs="宋体" w:hint="eastAsia"/>
        </w:rPr>
        <w:t>院探亲甲方不予接待。</w:t>
      </w:r>
    </w:p>
    <w:p>
      <w:pPr>
        <w:pStyle w:val="PO26"/>
        <w:numPr>
          <w:ilvl w:val="0"/>
          <w:numId w:val="1"/>
        </w:numPr>
        <w:rPr>
          <w:sz w:val="24"/>
          <w:szCs w:val="24"/>
          <w:rFonts w:cs="Times New Roman"/>
        </w:rPr>
      </w:pPr>
      <w:r>
        <w:rPr>
          <w:sz w:val="24"/>
          <w:szCs w:val="24"/>
          <w:rFonts w:cs="Times New Roman" w:hint="eastAsia"/>
          <w:lang w:eastAsia="zh-CN"/>
        </w:rPr>
        <w:t>感染性疾病科室进修建议入科进行体检，提供近期二级以上医疗机构化</w:t>
      </w:r>
      <w:r>
        <w:rPr>
          <w:sz w:val="24"/>
          <w:szCs w:val="24"/>
          <w:rFonts w:cs="Times New Roman" w:hint="eastAsia"/>
          <w:lang w:eastAsia="zh-CN"/>
        </w:rPr>
        <w:t>验检查报告单</w:t>
      </w:r>
      <w:r>
        <w:rPr>
          <w:sz w:val="24"/>
          <w:szCs w:val="24"/>
          <w:rFonts w:cs="Times New Roman" w:hint="eastAsia"/>
          <w:lang w:eastAsia="zh-CN"/>
        </w:rPr>
        <w:t>；</w:t>
      </w:r>
      <w:r>
        <w:rPr>
          <w:sz w:val="24"/>
          <w:szCs w:val="24"/>
          <w:rFonts w:cs="Times New Roman" w:hint="eastAsia"/>
          <w:lang w:eastAsia="zh-CN"/>
        </w:rPr>
        <w:t>肝功、乙肝五项、丙肝抗体、梅毒抗体、人类免疫缺陷病毒抗</w:t>
      </w:r>
      <w:r>
        <w:rPr>
          <w:sz w:val="24"/>
          <w:szCs w:val="24"/>
          <w:rFonts w:cs="Times New Roman" w:hint="eastAsia"/>
          <w:lang w:eastAsia="zh-CN"/>
        </w:rPr>
        <w:t>体、梅毒螺旋体抗体等</w:t>
      </w:r>
      <w:r>
        <w:rPr>
          <w:sz w:val="24"/>
          <w:szCs w:val="24"/>
          <w:rFonts w:cs="Times New Roman" w:hint="eastAsia"/>
          <w:lang w:eastAsia="zh-CN"/>
        </w:rPr>
        <w:t>。</w:t>
      </w:r>
    </w:p>
    <w:p>
      <w:pPr>
        <w:pStyle w:val="PO26"/>
        <w:numPr>
          <w:ilvl w:val="0"/>
          <w:numId w:val="1"/>
        </w:numPr>
        <w:rPr>
          <w:sz w:val="24"/>
          <w:szCs w:val="24"/>
          <w:rFonts w:cs="Times New Roman"/>
        </w:rPr>
      </w:pPr>
      <w:r>
        <w:rPr>
          <w:sz w:val="24"/>
          <w:szCs w:val="24"/>
          <w:rFonts w:cs="宋体" w:hint="eastAsia"/>
        </w:rPr>
        <w:t>此协议一式二份，由甲、乙双方共同盖章，乙方本人签字后生效，甲乙</w:t>
      </w:r>
      <w:r>
        <w:rPr>
          <w:sz w:val="24"/>
          <w:szCs w:val="24"/>
          <w:rFonts w:cs="宋体" w:hint="eastAsia"/>
        </w:rPr>
        <w:t>双方各保存一份，其中甲方一份由乙方签字盖章后，报到时交由甲方存档，未</w:t>
      </w:r>
      <w:r>
        <w:rPr>
          <w:sz w:val="24"/>
          <w:szCs w:val="24"/>
          <w:rFonts w:cs="宋体" w:hint="eastAsia"/>
        </w:rPr>
        <w:t>盖章、签字者，甲方不为其办理报到手续。</w:t>
      </w:r>
    </w:p>
    <w:p>
      <w:pPr>
        <w:rPr>
          <w:sz w:val="24"/>
          <w:szCs w:val="24"/>
          <w:rFonts w:cs="Times New Roman"/>
        </w:rPr>
      </w:pPr>
    </w:p>
    <w:p>
      <w:pPr>
        <w:rPr>
          <w:sz w:val="24"/>
          <w:szCs w:val="24"/>
          <w:rFonts w:cs="Times New Roman"/>
        </w:rPr>
      </w:pPr>
    </w:p>
    <w:p>
      <w:pPr>
        <w:rPr>
          <w:sz w:val="24"/>
          <w:szCs w:val="24"/>
          <w:rFonts w:cs="Times New Roman"/>
        </w:rPr>
      </w:pPr>
      <w:r>
        <w:rPr>
          <w:sz w:val="24"/>
          <w:szCs w:val="24"/>
          <w:rFonts w:cs="宋体" w:hint="eastAsia"/>
        </w:rPr>
        <w:t>甲方单位盖章：</w:t>
      </w:r>
      <w:r>
        <w:rPr>
          <w:sz w:val="24"/>
          <w:szCs w:val="24"/>
        </w:rPr>
        <w:t xml:space="preserve">                           </w:t>
      </w:r>
      <w:r>
        <w:rPr>
          <w:sz w:val="24"/>
          <w:szCs w:val="24"/>
          <w:rFonts w:cs="宋体" w:hint="eastAsia"/>
        </w:rPr>
        <w:t>乙方单位盖章：</w:t>
      </w:r>
    </w:p>
    <w:p>
      <w:pPr>
        <w:rPr>
          <w:sz w:val="24"/>
          <w:szCs w:val="24"/>
          <w:rFonts w:cs="Times New Roman"/>
        </w:rPr>
      </w:pPr>
    </w:p>
    <w:p>
      <w:pPr>
        <w:rPr>
          <w:sz w:val="24"/>
          <w:szCs w:val="24"/>
          <w:rFonts w:cs="Times New Roman"/>
        </w:rPr>
      </w:pPr>
    </w:p>
    <w:p>
      <w:pPr>
        <w:rPr>
          <w:sz w:val="24"/>
          <w:szCs w:val="24"/>
          <w:rFonts w:cs="Times New Roman"/>
        </w:rPr>
      </w:pPr>
      <w:r>
        <w:rPr>
          <w:sz w:val="24"/>
          <w:szCs w:val="24"/>
        </w:rPr>
        <w:t xml:space="preserve">                                         </w:t>
      </w:r>
      <w:r>
        <w:rPr>
          <w:sz w:val="24"/>
          <w:szCs w:val="24"/>
          <w:rFonts w:cs="宋体" w:hint="eastAsia"/>
        </w:rPr>
        <w:t>进修人员本人签字：</w:t>
      </w:r>
    </w:p>
    <w:p>
      <w:pPr>
        <w:rPr>
          <w:sz w:val="24"/>
          <w:szCs w:val="24"/>
          <w:rFonts w:cs="Times New Roman"/>
        </w:rPr>
      </w:pPr>
    </w:p>
    <w:p>
      <w:pPr>
        <w:rPr>
          <w:sz w:val="24"/>
          <w:szCs w:val="24"/>
          <w:rFonts w:cs="Times New Roman"/>
        </w:rPr>
      </w:pPr>
      <w:r>
        <w:rPr>
          <w:sz w:val="24"/>
          <w:szCs w:val="24"/>
        </w:rPr>
        <w:t xml:space="preserve">                                               </w:t>
      </w:r>
      <w:r>
        <w:rPr>
          <w:sz w:val="24"/>
          <w:szCs w:val="24"/>
          <w:rFonts w:cs="宋体" w:hint="eastAsia"/>
        </w:rPr>
        <w:t>年</w:t>
      </w:r>
      <w:r>
        <w:rPr>
          <w:sz w:val="24"/>
          <w:szCs w:val="24"/>
        </w:rPr>
        <w:t xml:space="preserve">    </w:t>
      </w:r>
      <w:r>
        <w:rPr>
          <w:sz w:val="24"/>
          <w:szCs w:val="24"/>
          <w:rFonts w:cs="宋体" w:hint="eastAsia"/>
        </w:rPr>
        <w:t>月</w:t>
      </w:r>
      <w:r>
        <w:rPr>
          <w:sz w:val="24"/>
          <w:szCs w:val="24"/>
        </w:rPr>
        <w:t xml:space="preserve">    </w:t>
      </w:r>
      <w:r>
        <w:rPr>
          <w:sz w:val="24"/>
          <w:szCs w:val="24"/>
          <w:rFonts w:cs="宋体" w:hint="eastAsia"/>
        </w:rPr>
        <w:t>日</w:t>
      </w:r>
    </w:p>
    <w:p>
      <w:pPr>
        <w:rPr>
          <w:rFonts w:cs="Times New Roman"/>
        </w:rPr>
      </w:pPr>
    </w:p>
    <w:sectPr>
      <w:pgSz w:w="11906" w:h="16838"/>
      <w:pgMar w:top="1440" w:left="1800" w:bottom="1440" w:right="1800" w:header="851" w:footer="992" w:gutter="0"/>
      <w:pgNumType w:fmt="decimal"/>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
    <w:family w:val="roman"/>
    <w:pitch w:val="variable"/>
    <w:sig w:usb0="20007a87" w:usb1="80000000" w:usb2="00000008" w:usb3="00000000" w:csb0="000001ff" w:csb1="00000000"/>
  </w:font>
  <w:font w:name="宋体">
    <w:panose1 w:val="02010600030101010101"/>
    <w:charset w:val="130"/>
    <w:family w:val="auto"/>
    <w:pitch w:val="default"/>
    <w:sig w:usb0="00000003" w:usb1="288f0000" w:usb2="00000006" w:usb3="00000000" w:csb0="00040001" w:csb1="00000000"/>
  </w:font>
  <w:font w:name="Wingdings">
    <w:panose1 w:val="05000000000000000000"/>
    <w:charset w:val="2"/>
    <w:family w:val="auto"/>
    <w:pitch w:val="default"/>
    <w:sig w:usb0="00000000" w:usb1="00000000" w:usb2="00000000" w:usb3="00000000" w:csb0="80000000" w:csb1="00000000"/>
  </w:font>
  <w:font w:name="Arial">
    <w:panose1 w:val="020B0604020202020204"/>
    <w:charset w:val="1"/>
    <w:family w:val="swiss"/>
    <w:pitch w:val="default"/>
    <w:sig w:usb0="e0002aff" w:usb1="c0007843" w:usb2="00000009" w:usb3="00000000" w:csb0="400001ff" w:csb1="ffff0000"/>
  </w:font>
  <w:font w:name="黑体">
    <w:panose1 w:val="02010609060101010101"/>
    <w:charset w:val="130"/>
    <w:family w:val="auto"/>
    <w:pitch w:val="default"/>
    <w:sig w:usb0="800002bf" w:usb1="38cf7cfa" w:usb2="00000016" w:usb3="00000000" w:csb0="00040001" w:csb1="00000000"/>
  </w:font>
  <w:font w:name="Courier New">
    <w:panose1 w:val="02070309020205020404"/>
    <w:charset w:val="1"/>
    <w:family w:val="modern"/>
    <w:pitch w:val="default"/>
    <w:sig w:usb0="e0002aff" w:usb1="c0007843" w:usb2="00000009" w:usb3="00000000" w:csb0="400001ff" w:csb1="ffff0000"/>
  </w:font>
  <w:font w:name="Symbol">
    <w:panose1 w:val="05050102010706020507"/>
    <w:charset w:val="2"/>
    <w:family w:val="roman"/>
    <w:pitch w:val="default"/>
    <w:sig w:usb0="00000000" w:usb1="00000000" w:usb2="00000000" w:usb3="00000000" w:csb0="80000000" w:csb1="00000000"/>
  </w:font>
  <w:font w:name="Calibri">
    <w:panose1 w:val="020F0502020204030204"/>
    <w:charset w:val="0"/>
    <w:family w:val="swiss"/>
    <w:pitch w:val="default"/>
    <w:sig w:usb0="e00002ff" w:usb1="4000acff" w:usb2="00000001" w:usb3="00000000" w:csb0="2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w:abstractNum w:abstractNumId="0">
    <w:multiLevelType w:val="multilevel"/>
    <w:nsid w:val="2F000000"/>
    <w:tmpl w:val="1F000014"/>
    <w:lvl w:ilvl="0">
      <w:lvlJc w:val="left"/>
      <w:numFmt w:val="japaneseCounting"/>
      <w:start w:val="1"/>
      <w:suff w:val="tab"/>
      <w:pPr>
        <w:ind w:left="390" w:hanging="390"/>
        <w:rPr/>
      </w:pPr>
      <w:rPr>
        <w:rFonts w:hint="default"/>
      </w:rPr>
      <w:lvlText w:val="%1、"/>
    </w:lvl>
    <w:lvl w:ilvl="1">
      <w:lvlJc w:val="left"/>
      <w:numFmt w:val="lowerLetter"/>
      <w:start w:val="1"/>
      <w:suff w:val="tab"/>
      <w:pPr>
        <w:ind w:left="840" w:hanging="420"/>
        <w:rPr/>
      </w:pPr>
      <w:rPr/>
      <w:lvlText w:val="%2)"/>
    </w:lvl>
    <w:lvl w:ilvl="2">
      <w:lvlJc w:val="right"/>
      <w:numFmt w:val="lowerRoman"/>
      <w:start w:val="1"/>
      <w:suff w:val="tab"/>
      <w:pPr>
        <w:ind w:left="1260" w:hanging="420"/>
        <w:rPr/>
      </w:pPr>
      <w:rPr/>
      <w:lvlText w:val="%3."/>
    </w:lvl>
    <w:lvl w:ilvl="3">
      <w:lvlJc w:val="left"/>
      <w:numFmt w:val="decimal"/>
      <w:start w:val="1"/>
      <w:suff w:val="tab"/>
      <w:pPr>
        <w:ind w:left="1680" w:hanging="420"/>
        <w:rPr/>
      </w:pPr>
      <w:rPr/>
      <w:lvlText w:val="%4."/>
    </w:lvl>
    <w:lvl w:ilvl="4">
      <w:lvlJc w:val="left"/>
      <w:numFmt w:val="lowerLetter"/>
      <w:start w:val="1"/>
      <w:suff w:val="tab"/>
      <w:pPr>
        <w:ind w:left="2100" w:hanging="420"/>
        <w:rPr/>
      </w:pPr>
      <w:rPr/>
      <w:lvlText w:val="%5)"/>
    </w:lvl>
    <w:lvl w:ilvl="5">
      <w:lvlJc w:val="right"/>
      <w:numFmt w:val="lowerRoman"/>
      <w:start w:val="1"/>
      <w:suff w:val="tab"/>
      <w:pPr>
        <w:ind w:left="2520" w:hanging="420"/>
        <w:rPr/>
      </w:pPr>
      <w:rPr/>
      <w:lvlText w:val="%6."/>
    </w:lvl>
    <w:lvl w:ilvl="6">
      <w:lvlJc w:val="left"/>
      <w:numFmt w:val="decimal"/>
      <w:start w:val="1"/>
      <w:suff w:val="tab"/>
      <w:pPr>
        <w:ind w:left="2940" w:hanging="420"/>
        <w:rPr/>
      </w:pPr>
      <w:rPr/>
      <w:lvlText w:val="%7."/>
    </w:lvl>
    <w:lvl w:ilvl="7">
      <w:lvlJc w:val="left"/>
      <w:numFmt w:val="lowerLetter"/>
      <w:start w:val="1"/>
      <w:suff w:val="tab"/>
      <w:pPr>
        <w:ind w:left="3360" w:hanging="420"/>
        <w:rPr/>
      </w:pPr>
      <w:rPr/>
      <w:lvlText w:val="%8)"/>
    </w:lvl>
    <w:lvl w:ilvl="8">
      <w:lvlJc w:val="right"/>
      <w:numFmt w:val="lowerRoman"/>
      <w:start w:val="1"/>
      <w:suff w:val="tab"/>
      <w:pPr>
        <w:ind w:left="3780" w:hanging="420"/>
        <w:rPr/>
      </w:pPr>
      <w:rPr/>
      <w:lvlText w:val="%9."/>
    </w:lvl>
  </w:abstractNum>
  <w:abstractNum w:abstractNumId="1">
    <w:multiLevelType w:val="multilevel"/>
    <w:nsid w:val="2F000001"/>
    <w:tmpl w:val="1F002411"/>
    <w:lvl w:ilvl="0">
      <w:lvlJc w:val="left"/>
      <w:numFmt w:val="japaneseCounting"/>
      <w:start w:val="1"/>
      <w:suff w:val="tab"/>
      <w:pPr>
        <w:ind w:left="390" w:hanging="390"/>
        <w:rPr/>
      </w:pPr>
      <w:rPr>
        <w:rFonts w:hint="default"/>
      </w:rPr>
      <w:lvlText w:val="%1、"/>
    </w:lvl>
    <w:lvl w:ilvl="1">
      <w:lvlJc w:val="left"/>
      <w:numFmt w:val="lowerLetter"/>
      <w:start w:val="1"/>
      <w:suff w:val="tab"/>
      <w:pPr>
        <w:ind w:left="840" w:hanging="420"/>
        <w:rPr/>
      </w:pPr>
      <w:rPr/>
      <w:lvlText w:val="%2)"/>
    </w:lvl>
    <w:lvl w:ilvl="2">
      <w:lvlJc w:val="right"/>
      <w:numFmt w:val="lowerRoman"/>
      <w:start w:val="1"/>
      <w:suff w:val="tab"/>
      <w:pPr>
        <w:ind w:left="1260" w:hanging="420"/>
        <w:rPr/>
      </w:pPr>
      <w:rPr/>
      <w:lvlText w:val="%3."/>
    </w:lvl>
    <w:lvl w:ilvl="3">
      <w:lvlJc w:val="left"/>
      <w:numFmt w:val="decimal"/>
      <w:start w:val="1"/>
      <w:suff w:val="tab"/>
      <w:pPr>
        <w:ind w:left="1680" w:hanging="420"/>
        <w:rPr/>
      </w:pPr>
      <w:rPr/>
      <w:lvlText w:val="%4."/>
    </w:lvl>
    <w:lvl w:ilvl="4">
      <w:lvlJc w:val="left"/>
      <w:numFmt w:val="lowerLetter"/>
      <w:start w:val="1"/>
      <w:suff w:val="tab"/>
      <w:pPr>
        <w:ind w:left="2100" w:hanging="420"/>
        <w:rPr/>
      </w:pPr>
      <w:rPr/>
      <w:lvlText w:val="%5)"/>
    </w:lvl>
    <w:lvl w:ilvl="5">
      <w:lvlJc w:val="right"/>
      <w:numFmt w:val="lowerRoman"/>
      <w:start w:val="1"/>
      <w:suff w:val="tab"/>
      <w:pPr>
        <w:ind w:left="2520" w:hanging="420"/>
        <w:rPr/>
      </w:pPr>
      <w:rPr/>
      <w:lvlText w:val="%6."/>
    </w:lvl>
    <w:lvl w:ilvl="6">
      <w:lvlJc w:val="left"/>
      <w:numFmt w:val="decimal"/>
      <w:start w:val="1"/>
      <w:suff w:val="tab"/>
      <w:pPr>
        <w:ind w:left="2940" w:hanging="420"/>
        <w:rPr/>
      </w:pPr>
      <w:rPr/>
      <w:lvlText w:val="%7."/>
    </w:lvl>
    <w:lvl w:ilvl="7">
      <w:lvlJc w:val="left"/>
      <w:numFmt w:val="lowerLetter"/>
      <w:start w:val="1"/>
      <w:suff w:val="tab"/>
      <w:pPr>
        <w:ind w:left="3360" w:hanging="420"/>
        <w:rPr/>
      </w:pPr>
      <w:rPr/>
      <w:lvlText w:val="%8)"/>
    </w:lvl>
    <w:lvl w:ilvl="8">
      <w:lvlJc w:val="right"/>
      <w:numFmt w:val="lowerRoman"/>
      <w:start w:val="1"/>
      <w:suff w:val="tab"/>
      <w:pPr>
        <w:ind w:left="3780" w:hanging="420"/>
        <w:rPr/>
      </w:pPr>
      <w:rPr/>
      <w:lvlText w:val="%9."/>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420"/>
  <w:displayHorizontalDrawingGridEvery w:val="0"/>
  <w:displayVerticalDrawingGridEvery w:val="2"/>
  <w:characterSpacingControl w:val="compressPunctuation"/>
  <w:noLineBreaksAfter w:lang="ko-KR" w:val="$([{£¥·‘“〈《「『【〔〖〝﹙﹛﹝＄（．［｛￡￥"/>
  <w:noLineBreaksBefore w:lang="ko-KR" w:val="$([{£¥·‘“〈《「『【〔〖〝﹙﹛﹝＄（．［｛￡￥"/>
  <w:bordersDoNotSurroundHeader/>
  <w:bordersDoNotSurroundFooter/>
  <w:compat>
    <w:balanceSingleByteDoubleByteWidth/>
    <w:adjustLineHeightInTable/>
    <w:useFELayout/>
    <w:compatSetting w:name="compatibilityMode" w:uri="http://schemas.microsoft.com/office/word" w:val="15"/>
    <w:ulTrailSpace/>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rPrDefault>
      <w:rPr>
        <w:rFonts w:ascii="Calibri" w:eastAsia="宋体" w:hAnsi="Calibri" w:cs="Times New Roman"/>
      </w:rPr>
    </w:rPrDefault>
  </w:docDefaults>
  <w:style w:default="1" w:styleId="PO1" w:type="paragraph">
    <w:name w:val="Normal"/>
    <w:qFormat/>
    <w:uiPriority w:val="1"/>
    <w:pPr>
      <w:jc w:val="both"/>
      <w:rPr/>
    </w:pPr>
    <w:rPr>
      <w:sz w:val="21"/>
      <w:szCs w:val="21"/>
      <w:rFonts w:ascii="Calibri" w:eastAsia="宋体" w:hAnsi="Calibri" w:cs="Calibri"/>
      <w:lang w:bidi="ar-SA" w:eastAsia="zh-CN" w:val="en-US"/>
    </w:rPr>
  </w:style>
  <w:style w:default="1" w:styleId="PO2" w:type="character">
    <w:name w:val="Default Paragraph Font"/>
    <w:uiPriority w:val="2"/>
    <w:semiHidden/>
  </w:style>
  <w:style w:default="1" w:styleId="PO3" w:type="table">
    <w:name w:val="Normal Table"/>
    <w:qFormat/>
    <w:uiPriority w:val="3"/>
    <w:unhideWhenUsed/>
    <w:tblPr>
      <w:tblCellMar>
        <w:bottom w:type="dxa" w:w="0"/>
        <w:left w:type="dxa" w:w="108"/>
        <w:right w:type="dxa" w:w="108"/>
        <w:top w:type="dxa" w:w="0"/>
      </w:tblCellMar>
    </w:tblPr>
  </w:style>
  <w:style w:default="1" w:styleId="PO4" w:type="numbering">
    <w:name w:val="No List"/>
    <w:next w:val="PO1"/>
    <w:uiPriority w:val="4"/>
    <w:semiHidden/>
    <w:unhideWhenUsed/>
  </w:style>
  <w:style w:customStyle="1" w:styleId="PO26" w:type="paragraph">
    <w:name w:val="List Paragraph"/>
    <w:basedOn w:val="PO1"/>
    <w:qFormat/>
    <w:uiPriority w:val="26"/>
    <w:pPr>
      <w:ind w:firstLine="200"/>
      <w:rPr/>
    </w:pP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numbering" Target="numbering.xml"></Relationship><Relationship Id="rId6"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Company>Lenovo</Company>
  <DocSecurity>0</DocSecurity>
  <HyperlinksChanged>false</HyperlinksChanged>
  <Lines>0</Lines>
  <LinksUpToDate>false</LinksUpToDate>
  <Pages>1</Pages>
  <Paragraphs>0</Paragraphs>
  <Words>128</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kjk-10</dc:creator>
  <cp:lastModifiedBy/>
  <dcterms:modified xsi:type="dcterms:W3CDTF">2019-07-24T05:31:02Z</dcterms:modified>
</cp:coreProperties>
</file>